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95a7df6d746b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49657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GRADA ŠIBENIKA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204.306,13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280.367,42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214.969,45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272.673,15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7.694,27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2.310,59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2.644,83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5.049,44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                                                     </w:t>
      </w:r>
    </w:p>
    <w:p>
      <w:r>
        <w:rPr>
          <w:b/>
        </w:rPr>
        <w:t xml:space="preserve">                                                    Bilješke uz  financijske izvještaje  za razdoblje 01.01. do 31.12.2025.</w:t>
      </w:r>
    </w:p>
    <w:p>
      <w:r>
        <w:t xml:space="preserve"> </w:t>
      </w:r>
    </w:p>
    <w:p>
      <w:r>
        <w:rPr>
          <w:b/>
        </w:rPr>
        <w:t xml:space="preserve">OBRAZAC PR - RAS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204.306,13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280.367,42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137,2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6-Prihodi poslovanja</w:t>
      </w:r>
      <w:r>
        <w:t xml:space="preserve"> su na ukupnoj razini uvećani za 37,2 % u odnosu na prethodno obračunsko razdoblje , i to na računu  636 - prihodi iz ne nadležnog proračuna  50,1 %, , na računu 651 - prihodi od pruženih usluga   20,3  % , a na računima 671 - prihodi iz nadležnog proračuna 39,4 % 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150,1</w:t>
            </w:r>
          </w:p>
        </w:tc>
      </w:tr>
    </w:tbl>
    <w:p>
      <w:pPr>
        <w:spacing w:before="0" w:after="0"/>
      </w:pPr>
    </w:p>
    <w:p>
      <w:r>
        <w:t xml:space="preserve">636- Pomoći proračunskim korisnicima iz  proračuna koji im nije nadležan je  znatno uvećan za 50,1 % u odnosu na prethodno obačunsko razdoblje , a uslijed  uvećanih  sredstava  iz proračuna RH za  sufinanciranje rada geronto domaćice.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24.523,87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29.506,50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661- Prihod od prodaje proizvoda te  pruženih usluga   je  za 20,3 %  veći u odnosu na prethodno obračunsko razdoblje , a zbog povećanog broja  pruženih usluga korisnicima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177.884,46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248.011,97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671- Prihodi iz nadležnog proračuna  su uvećani za 39,4% u odnosu na prethodno obračunsko razdoblje , zbog povećanih troškova koji se financiraju iz sredstava nadležnog proračuna za isplatu  plaće, kao i  troškova  komunalnih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187.899,10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236.235,99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31 rashodi za zaposlene </w:t>
      </w:r>
      <w:r>
        <w:t xml:space="preserve">uvećani su ukupno za 25,7 % u odnosu na prethodno obračunsko razdoblje , i to zbog uvećane osnovice plaće u 2025. je došlo i do  povećanog  obračuna doprinosa na plaću,  a jedino na ostalim rashodima za zaposlene evidentirano je smanjenje jer je u prethodnom obračunskom razdoblju izvršena  isplata otpremnine , a u tekućem razdoblju tih troškova nema.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138.540,24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186.468,29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134,6</w:t>
            </w:r>
          </w:p>
        </w:tc>
      </w:tr>
    </w:tbl>
    <w:p>
      <w:pPr>
        <w:spacing w:before="0" w:after="0"/>
      </w:pPr>
    </w:p>
    <w:p>
      <w:r>
        <w:t xml:space="preserve">311-Plaće (bruto) su uvećane za 34,6 % u odnosu na prethodno obračunsko razdoblje , a zbog povećanja osnovice plaće za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73,1</w:t>
            </w:r>
          </w:p>
        </w:tc>
      </w:tr>
    </w:tbl>
    <w:p>
      <w:pPr>
        <w:spacing w:before="0" w:after="0"/>
      </w:pPr>
    </w:p>
    <w:p>
      <w:r>
        <w:t xml:space="preserve">312- Ostali rashodi za zaposlene su smanjeni 26,9%  u odnosu na prethodno obračunsko razdoblje 2024. , jer je u 2024. pri  odlasku djelatnice u mirovinu izvršena   isplata  otpremnine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23.537,86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30.897,70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131,3</w:t>
            </w:r>
          </w:p>
        </w:tc>
      </w:tr>
    </w:tbl>
    <w:p>
      <w:pPr>
        <w:spacing w:before="0" w:after="0"/>
      </w:pPr>
    </w:p>
    <w:p>
      <w:r>
        <w:t xml:space="preserve">313 Doprinosi na plaće su uvećani za 31,3%  u odnosu na prethodno obračunsko razdoblje, jer  uvećanjem  osnovice uvećan je obračun doprinosa na plaću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321- naknade troškova zaposlenih ukupno uvećanje je za 27,9 % u odnosu na prethodno obračunsko razdoblje , a uslijed povećanja troškova službenog putovanja u  nominalnom iznosu od 82,71 eura i povećanja troškova prijevoza s posao i na posao za 1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7.801,36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322- Rashodi za materijal i energiju ukupno je povećano za  68,0 % u odnosu na prethodno razdoblje , a odražava ga povećanje nabave sitnog  inventara i materijala za čišćenje zbog  povećanja  pruženih usluga korisnicima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</w:tbl>
    <w:p>
      <w:pPr>
        <w:spacing w:before="0" w:after="0"/>
      </w:pPr>
    </w:p>
    <w:p>
      <w:r>
        <w:t xml:space="preserve">322- uredski materijal i ostali mat.rashodi su veći za 30,8% u odnosu na prethodno razdoblje, jer  povećanjem  broja pruženih usluga korisnicima potrebno je nabaviti više  materijala za higijenske potrebe i čišćenje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253,1</w:t>
            </w:r>
          </w:p>
        </w:tc>
      </w:tr>
    </w:tbl>
    <w:p>
      <w:pPr>
        <w:spacing w:before="0" w:after="0"/>
      </w:pPr>
    </w:p>
    <w:p>
      <w:r>
        <w:t xml:space="preserve">3225 sitan inventar i auto gume bilježe znatno povećanje od 153,1 %,  jer je tekućem razdoblju  nabavljeno sitnog inventara i auto gume-a u nominalnom iznosu 2.385,04  eura a u  prethodnom razdoblju   942,41 euro odnosno  za 1.442,63 eura više u odnosu na prethodno razdoblje.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18.947,49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24.540,85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</w:tbl>
    <w:p>
      <w:pPr>
        <w:spacing w:before="0" w:after="0"/>
      </w:pPr>
    </w:p>
    <w:p>
      <w:r>
        <w:t xml:space="preserve">323- rashodi za usluge  su povećani  za 29,5% u odnosu na prethodno obračunsko razdoblje , a povećanje je zbog  troškova prijevoza imovine i obroka kao i zbog  popravka  vozila  i komunalnih usluga tj računa za pričuvu.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191,3</w:t>
            </w:r>
          </w:p>
        </w:tc>
      </w:tr>
    </w:tbl>
    <w:p>
      <w:pPr>
        <w:spacing w:before="0" w:after="0"/>
      </w:pPr>
    </w:p>
    <w:p>
      <w:r>
        <w:t xml:space="preserve">3231-usluge telefona , interneta pošte i prijevoza uvećani su za 91,3% u odnosu na prethodnu godinu jer je u tekućoj godini bilo potrebe za povećanjem  prijevoza nabavljene imovine kao   i prijevoza obroka korisnicima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187,8</w:t>
            </w:r>
          </w:p>
        </w:tc>
      </w:tr>
    </w:tbl>
    <w:p>
      <w:pPr>
        <w:spacing w:before="0" w:after="0"/>
      </w:pPr>
    </w:p>
    <w:p>
      <w:r>
        <w:t xml:space="preserve">3232 Usluge tekućeg i investicijskog održavanja  uvećani su za 87,8% u odnosu na prethodno obračunsko razdoblje  zbog  troškova  popravka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199,4</w:t>
            </w:r>
          </w:p>
        </w:tc>
      </w:tr>
    </w:tbl>
    <w:p>
      <w:pPr>
        <w:spacing w:before="0" w:after="0"/>
      </w:pPr>
    </w:p>
    <w:p>
      <w:r>
        <w:t xml:space="preserve">3234 Komunalne usluge su povećane za 99,4% u odnosu na prethodno obračunsko razdoblje zbog povećanih  računa pričuve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289,7</w:t>
            </w:r>
          </w:p>
        </w:tc>
      </w:tr>
    </w:tbl>
    <w:p>
      <w:pPr>
        <w:spacing w:before="0" w:after="0"/>
      </w:pPr>
    </w:p>
    <w:p>
      <w:r>
        <w:t xml:space="preserve">3293 Reprezentacija je znatno povećanai to  za 189,7% u odnosu na prethodno obračunsko razdoblje , u nominalnom iznosu  povećanje je za 186,01 eura ,  u prethodnom razdoblju utrošeno 98,07 eura a u tekućoj godini 284,08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prihodi u tekućem razdoblju od 280.367,42 eura,  a  rashodi poslovanja tekućeg razdoblja su 275.317,98 eura . pa je za ovo obračunsko razdoblje ostvaren višak od 5.049,44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višak prihoda i primitaka za 2025. iznosi 5.049,44 eura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Preneseni manjak prihoda i primitaka iz 2024. iznosi 7.186,26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29,7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Manjak prihoda i primitaka za pokriće u sljedećem razdoblju smanjen je za 70,3 % u odnosu na prethodno razdoblje  i iznosi 2.136,82 eura</w:t>
      </w:r>
      <w:r>
        <w:t xml:space="preserve">,    to je razlika između  prenesenog manjka  od 7.186,26 eura iz 2024. i viška prihoda tekućeg razdoblja od 5.049,44 eura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18.139,67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26.612,30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146,7</w:t>
            </w:r>
          </w:p>
        </w:tc>
      </w:tr>
    </w:tbl>
    <w:p>
      <w:pPr>
        <w:spacing w:before="0" w:after="0"/>
      </w:pPr>
    </w:p>
    <w:p>
      <w:r>
        <w:t xml:space="preserve">IMOVINA je u tekućem razdoblju uvećana za 46,7% u odnosu na prethodno obračunsko razdoblje , nabavkom proizvedene dugotrajne  imovine i povećanjem potraživanja od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173,7</w:t>
            </w:r>
          </w:p>
        </w:tc>
      </w:tr>
    </w:tbl>
    <w:p>
      <w:pPr>
        <w:spacing w:before="0" w:after="0"/>
      </w:pPr>
    </w:p>
    <w:p>
      <w:r>
        <w:t xml:space="preserve">Proizvedena dugotrajna imovina uvećena je za 73,7 % u obračunskom razdoblju nabavkom imovine  , a  postojeća imovina iz prethodnog razdoblja je uglavnom otpisana  i ima malu sadašnju vrijednost.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7.639,62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159,0</w:t>
            </w:r>
          </w:p>
        </w:tc>
      </w:tr>
    </w:tbl>
    <w:p>
      <w:pPr>
        <w:spacing w:before="0" w:after="0"/>
      </w:pPr>
    </w:p>
    <w:p>
      <w:r>
        <w:t xml:space="preserve">Sitan inventar i autogume u upotrebi je povećan za 59,0% u odnosu na prethodno razdoblje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15.790,33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22.530,74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Financijskaa imovina je uvećana za 42,7% u odnosu na prethodno obračunsko razdoblje uvećanjem potraživanjima od nadležnog proračuna za uplaćene ostvarene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</w:tbl>
    <w:p>
      <w:pPr>
        <w:spacing w:before="0" w:after="0"/>
      </w:pPr>
    </w:p>
    <w:p>
      <w:r>
        <w:t xml:space="preserve">Potraživanja su smanjenja  za 24,20% jer je iznos bolovanja na teret HZZO manji u tekućem obračunskom razdoblju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14.565,51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148,3</w:t>
            </w:r>
          </w:p>
        </w:tc>
      </w:tr>
    </w:tbl>
    <w:p>
      <w:pPr>
        <w:spacing w:before="0" w:after="0"/>
      </w:pPr>
    </w:p>
    <w:p>
      <w:r>
        <w:t xml:space="preserve">Potraživanja za prihode poslovanja  su veći za 48,3 % u odnosu na prethodno obračunsko razdoblje povećanjem potraživanja od nadležnog proračuna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Razvoj zajednice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217.280,04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275.317,98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Povećanje je za   26,7% u odnosu na prethodno obračunsko razdoblje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 ,a iznos  nedospjelih obveza na dan 31.12.2025. iznosi 22,366,56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912eaf77214e8b" /></Relationships>
</file>